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A0A" w:rsidRDefault="00771A0A" w:rsidP="00771A0A">
      <w:pPr>
        <w:jc w:val="center"/>
      </w:pPr>
    </w:p>
    <w:p w:rsidR="00771A0A" w:rsidRDefault="00771A0A" w:rsidP="00771A0A">
      <w:pPr>
        <w:jc w:val="center"/>
        <w:rPr>
          <w:rFonts w:eastAsia="Times New Roman"/>
        </w:rPr>
      </w:pPr>
      <w:r>
        <w:rPr>
          <w:rFonts w:eastAsia="Times New Roman"/>
        </w:rPr>
        <w:t>Лекция 20. Прием сигналов с неопределенной фазой (некогерентный прием). Потенциальные возможности дискретных каналов связи. Свойство эргодичности</w:t>
      </w:r>
    </w:p>
    <w:p w:rsidR="00771A0A" w:rsidRDefault="00771A0A" w:rsidP="00771A0A">
      <w:pPr>
        <w:jc w:val="center"/>
      </w:pPr>
    </w:p>
    <w:p w:rsidR="00771A0A" w:rsidRDefault="00771A0A" w:rsidP="00771A0A">
      <w:pPr>
        <w:jc w:val="center"/>
      </w:pPr>
      <w:r>
        <w:t>Содержание лекции:</w:t>
      </w:r>
    </w:p>
    <w:p w:rsidR="00771A0A" w:rsidRDefault="00771A0A" w:rsidP="00771A0A">
      <w:pPr>
        <w:jc w:val="center"/>
        <w:rPr>
          <w:rFonts w:eastAsia="Times New Roman"/>
        </w:rPr>
      </w:pPr>
      <w:r>
        <w:rPr>
          <w:rFonts w:eastAsia="Times New Roman"/>
        </w:rPr>
        <w:t>- прием сигналов с неопределенной фазой (некогерентный прием). Основной понятийный аппарат теории информации. Вектор ошибок.</w:t>
      </w:r>
    </w:p>
    <w:p w:rsidR="00771A0A" w:rsidRDefault="00771A0A" w:rsidP="00771A0A">
      <w:pPr>
        <w:jc w:val="center"/>
        <w:rPr>
          <w:rFonts w:eastAsia="Times New Roman"/>
        </w:rPr>
      </w:pPr>
    </w:p>
    <w:p w:rsidR="00771A0A" w:rsidRDefault="00771A0A" w:rsidP="00771A0A">
      <w:pPr>
        <w:jc w:val="center"/>
      </w:pPr>
      <w:r>
        <w:t>Цель лекции:</w:t>
      </w:r>
    </w:p>
    <w:p w:rsidR="00771A0A" w:rsidRDefault="00771A0A" w:rsidP="00771A0A">
      <w:pPr>
        <w:jc w:val="center"/>
      </w:pPr>
      <w:r>
        <w:t>- синтезировать оптимальный демодулятор. Сформулировать исходные понятия.</w:t>
      </w:r>
    </w:p>
    <w:p w:rsidR="00771A0A" w:rsidRDefault="00771A0A" w:rsidP="00771A0A">
      <w:pPr>
        <w:jc w:val="center"/>
      </w:pPr>
    </w:p>
    <w:p w:rsidR="00771A0A" w:rsidRDefault="00771A0A" w:rsidP="00771A0A">
      <w:pPr>
        <w:jc w:val="center"/>
      </w:pPr>
      <w:r>
        <w:t xml:space="preserve">Многие каналы можно описать моделью (19.3) с флуктуирующей фазой. Нередко фаза флуктуирует довольно быстро, и точную её оценку получить не удаётся. Кроме того, оценка фазы требует иногда применения сложных устройств. Поэтому даже в тех случаях, когда принципиально можно оценить начальную фазу приходящего сигнала, порой от этого отказываются и используют алгоритм, построенный в предположении, что начальная фаза приходящего сигнала не известна и может принимать любое значение на интервале (0, 2π). Такой метод приёма называется </w:t>
      </w:r>
      <w:r>
        <w:rPr>
          <w:i/>
          <w:iCs/>
        </w:rPr>
        <w:t>некогерентным.</w:t>
      </w:r>
    </w:p>
    <w:p w:rsidR="00771A0A" w:rsidRDefault="00771A0A" w:rsidP="00771A0A">
      <w:pPr>
        <w:jc w:val="center"/>
      </w:pPr>
      <w:r>
        <w:t xml:space="preserve">Для вывода правила оптимального некогерентного приёма будем исходить из логарифма отношения правдоподобия </w:t>
      </w:r>
      <w:proofErr w:type="spellStart"/>
      <w:r>
        <w:rPr>
          <w:lang w:val="en-US"/>
        </w:rPr>
        <w:t>l</w:t>
      </w:r>
      <w:r>
        <w:rPr>
          <w:i/>
          <w:iCs/>
          <w:lang w:val="en-US"/>
        </w:rPr>
        <w:t>nΛ</w:t>
      </w:r>
      <w:r>
        <w:rPr>
          <w:i/>
          <w:iCs/>
          <w:vertAlign w:val="subscript"/>
          <w:lang w:val="en-US"/>
        </w:rPr>
        <w:t>i</w:t>
      </w:r>
      <w:proofErr w:type="spellEnd"/>
      <w:r>
        <w:t xml:space="preserve"> для сигнала </w:t>
      </w:r>
      <w:proofErr w:type="spellStart"/>
      <w:r>
        <w:rPr>
          <w:lang w:val="en-US"/>
        </w:rPr>
        <w:t>s</w:t>
      </w:r>
      <w:r>
        <w:rPr>
          <w:i/>
          <w:iCs/>
          <w:vertAlign w:val="subscript"/>
          <w:lang w:val="en-US"/>
        </w:rPr>
        <w:t>i</w:t>
      </w:r>
      <w:proofErr w:type="spellEnd"/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которое при точно известной начальной фазе выражается формулой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1D68EF31" wp14:editId="5DACE851">
            <wp:extent cx="3219450" cy="447675"/>
            <wp:effectExtent l="0" t="0" r="0" b="9525"/>
            <wp:docPr id="1" name="Picture 1" descr="C:\Users\Василий\Desktop\Нов лек ТЭС\Лекции ТЭС последние\ГЛАВА 2_files\image3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Василий\Desktop\Нов лек ТЭС\Лекции ТЭС последние\ГЛАВА 2_files\image388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771A0A" w:rsidRDefault="00771A0A" w:rsidP="00771A0A">
      <w:pPr>
        <w:jc w:val="center"/>
      </w:pPr>
      <w:r>
        <w:t>Используя представление для сигнала,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4D594A22" wp14:editId="757DEAF7">
            <wp:extent cx="5781675" cy="257175"/>
            <wp:effectExtent l="0" t="0" r="9525" b="9525"/>
            <wp:docPr id="2" name="Picture 2" descr="C:\Users\Василий\Desktop\Нов лек ТЭС\Лекции ТЭС последние\ГЛАВА 2_files\image3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Василий\Desktop\Нов лек ТЭС\Лекции ТЭС последние\ГЛАВА 2_files\image389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771A0A" w:rsidRDefault="00771A0A" w:rsidP="00771A0A">
      <w:pPr>
        <w:jc w:val="center"/>
      </w:pPr>
      <w:r>
        <w:t xml:space="preserve">где γ — известный коэффициент передачи канала, а θ - случайный сдвиг в канале, формулу для </w:t>
      </w:r>
      <w:proofErr w:type="spellStart"/>
      <w:r>
        <w:rPr>
          <w:lang w:val="en-US"/>
        </w:rPr>
        <w:t>l</w:t>
      </w:r>
      <w:r>
        <w:rPr>
          <w:i/>
          <w:iCs/>
          <w:lang w:val="en-US"/>
        </w:rPr>
        <w:t>nΛ</w:t>
      </w:r>
      <w:r>
        <w:rPr>
          <w:i/>
          <w:iCs/>
          <w:vertAlign w:val="subscript"/>
          <w:lang w:val="en-US"/>
        </w:rPr>
        <w:t>i</w:t>
      </w:r>
      <w:proofErr w:type="spellEnd"/>
      <w:r>
        <w:t xml:space="preserve"> можно (после устремления Δ</w:t>
      </w:r>
      <w:r>
        <w:rPr>
          <w:lang w:val="en-US"/>
        </w:rPr>
        <w:t>t</w:t>
      </w:r>
      <w:r>
        <w:t>→0) записать так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7AAC0628" wp14:editId="34751342">
            <wp:extent cx="4562475" cy="485775"/>
            <wp:effectExtent l="0" t="0" r="9525" b="9525"/>
            <wp:docPr id="3" name="Picture 3" descr="C:\Users\Василий\Desktop\Нов лек ТЭС\Лекции ТЭС последние\ГЛАВА 2_files\image3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Василий\Desktop\Нов лек ТЭС\Лекции ТЭС последние\ГЛАВА 2_files\image390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 (20.1)</w:t>
      </w:r>
    </w:p>
    <w:p w:rsidR="00771A0A" w:rsidRDefault="00771A0A" w:rsidP="00771A0A">
      <w:pPr>
        <w:jc w:val="center"/>
      </w:pPr>
      <w:r>
        <w:t xml:space="preserve">Здесь </w:t>
      </w:r>
      <w:proofErr w:type="spellStart"/>
      <w:r>
        <w:rPr>
          <w:lang w:val="en-US"/>
        </w:rPr>
        <w:t>l</w:t>
      </w:r>
      <w:r>
        <w:rPr>
          <w:i/>
          <w:iCs/>
          <w:lang w:val="en-US"/>
        </w:rPr>
        <w:t>nΛ</w:t>
      </w:r>
      <w:r>
        <w:rPr>
          <w:i/>
          <w:iCs/>
          <w:vertAlign w:val="subscript"/>
          <w:lang w:val="en-US"/>
        </w:rPr>
        <w:t>i</w:t>
      </w:r>
      <w:proofErr w:type="spellEnd"/>
      <w:r>
        <w:t xml:space="preserve"> является случайной величиной, принимающей различные значения при различных θ. Правило максимума правдоподобия в такой ситуации заключается в выборе такого решения, для которого математическое ожидание </w:t>
      </w:r>
      <w:proofErr w:type="spellStart"/>
      <w:r>
        <w:rPr>
          <w:i/>
          <w:iCs/>
          <w:lang w:val="en-US"/>
        </w:rPr>
        <w:t>Λ</w:t>
      </w:r>
      <w:r>
        <w:rPr>
          <w:i/>
          <w:iCs/>
          <w:vertAlign w:val="subscript"/>
          <w:lang w:val="en-US"/>
        </w:rPr>
        <w:t>i</w:t>
      </w:r>
      <w:proofErr w:type="spellEnd"/>
      <w:r>
        <w:t xml:space="preserve"> будет наибольшим. При нахождении </w:t>
      </w:r>
      <w:r>
        <w:rPr>
          <w:noProof/>
          <w:vertAlign w:val="subscript"/>
        </w:rPr>
        <w:drawing>
          <wp:inline distT="0" distB="0" distL="0" distR="0" wp14:anchorId="0A70A605" wp14:editId="1E9DB588">
            <wp:extent cx="409575" cy="238125"/>
            <wp:effectExtent l="0" t="0" r="9525" b="9525"/>
            <wp:docPr id="4" name="Picture 4" descr="C:\Users\Василий\Desktop\Нов лек ТЭС\Лекции ТЭС последние\ГЛАВА 2_files\image3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Василий\Desktop\Нов лек ТЭС\Лекции ТЭС последние\ГЛАВА 2_files\image391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заметим, что второй интеграл в правой части (20.1) от θ не зависит и равен энергии </w:t>
      </w:r>
      <w:r>
        <w:rPr>
          <w:i/>
          <w:iCs/>
          <w:lang w:val="en-US"/>
        </w:rPr>
        <w:t>E</w:t>
      </w:r>
      <w:r>
        <w:rPr>
          <w:i/>
          <w:iCs/>
          <w:vertAlign w:val="subscript"/>
        </w:rPr>
        <w:t>П</w:t>
      </w:r>
      <w:proofErr w:type="spellStart"/>
      <w:r>
        <w:rPr>
          <w:i/>
          <w:iCs/>
          <w:vertAlign w:val="subscript"/>
          <w:lang w:val="en-US"/>
        </w:rPr>
        <w:t>i</w:t>
      </w:r>
      <w:proofErr w:type="spellEnd"/>
      <w:r>
        <w:t xml:space="preserve"> сигнала </w:t>
      </w:r>
      <w:proofErr w:type="spellStart"/>
      <w:r>
        <w:rPr>
          <w:i/>
          <w:iCs/>
          <w:lang w:val="en-US"/>
        </w:rPr>
        <w:t>u</w:t>
      </w:r>
      <w:r>
        <w:rPr>
          <w:i/>
          <w:iCs/>
          <w:vertAlign w:val="subscript"/>
          <w:lang w:val="en-US"/>
        </w:rPr>
        <w:t>i</w:t>
      </w:r>
      <w:proofErr w:type="spellEnd"/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на входе канала (на передатчике). Это ясно из того, что подынтегральной функцией является квадрат сигнала </w:t>
      </w:r>
      <w:proofErr w:type="spellStart"/>
      <w:r>
        <w:rPr>
          <w:i/>
          <w:iCs/>
          <w:lang w:val="en-US"/>
        </w:rPr>
        <w:t>Ui</w:t>
      </w:r>
      <w:proofErr w:type="spellEnd"/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сдвинутого по фазе на θ, что, как известно, не влияет на его энергию. Таким образом, учитывая, что </w:t>
      </w:r>
      <w:r>
        <w:rPr>
          <w:noProof/>
          <w:vertAlign w:val="subscript"/>
        </w:rPr>
        <w:drawing>
          <wp:inline distT="0" distB="0" distL="0" distR="0" wp14:anchorId="2349E039" wp14:editId="642BBEED">
            <wp:extent cx="752475" cy="457200"/>
            <wp:effectExtent l="0" t="0" r="9525" b="0"/>
            <wp:docPr id="5" name="Picture 5" descr="C:\Users\Василий\Desktop\Нов лек ТЭС\Лекции ТЭС последние\ГЛАВА 2_files\image3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Василий\Desktop\Нов лек ТЭС\Лекции ТЭС последние\ГЛАВА 2_files\image392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получаем с введением обозначений </w:t>
      </w:r>
      <w:r>
        <w:rPr>
          <w:noProof/>
          <w:vertAlign w:val="subscript"/>
        </w:rPr>
        <w:drawing>
          <wp:inline distT="0" distB="0" distL="0" distR="0" wp14:anchorId="7D486A3A" wp14:editId="5E2034FF">
            <wp:extent cx="2362200" cy="485775"/>
            <wp:effectExtent l="0" t="0" r="0" b="9525"/>
            <wp:docPr id="6" name="Picture 6" descr="C:\Users\Василий\Desktop\Нов лек ТЭС\Лекции ТЭС последние\ГЛАВА 2_files\image3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Василий\Desktop\Нов лек ТЭС\Лекции ТЭС последние\ГЛАВА 2_files\image393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149DF348" wp14:editId="0A8AC011">
            <wp:extent cx="914400" cy="295275"/>
            <wp:effectExtent l="0" t="0" r="0" b="9525"/>
            <wp:docPr id="7" name="Picture 7" descr="C:\Users\Василий\Desktop\Нов лек ТЭС\Лекции ТЭС последние\ГЛАВА 2_files\image3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Василий\Desktop\Нов лек ТЭС\Лекции ТЭС последние\ГЛАВА 2_files\image394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и </w:t>
      </w:r>
      <w:r>
        <w:rPr>
          <w:noProof/>
          <w:vertAlign w:val="subscript"/>
        </w:rPr>
        <w:drawing>
          <wp:inline distT="0" distB="0" distL="0" distR="0" wp14:anchorId="07F6F46B" wp14:editId="280B4EBE">
            <wp:extent cx="981075" cy="485775"/>
            <wp:effectExtent l="0" t="0" r="9525" b="9525"/>
            <wp:docPr id="8" name="Picture 8" descr="C:\Users\Василий\Desktop\Нов лек ТЭС\Лекции ТЭС последние\ГЛАВА 2_files\image3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Василий\Desktop\Нов лек ТЭС\Лекции ТЭС последние\ГЛАВА 2_files\image395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,                          (20.2)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54D88665" wp14:editId="11A8B373">
            <wp:extent cx="2047875" cy="485775"/>
            <wp:effectExtent l="0" t="0" r="9525" b="9525"/>
            <wp:docPr id="9" name="Picture 9" descr="C:\Users\Василий\Desktop\Нов лек ТЭС\Лекции ТЭС последние\ГЛАВА 2_files\image3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Василий\Desktop\Нов лек ТЭС\Лекции ТЭС последние\ГЛАВА 2_files\image396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- модифицированная функция Бесселя нулевого порядка.</w:t>
      </w:r>
    </w:p>
    <w:p w:rsidR="00771A0A" w:rsidRDefault="00771A0A" w:rsidP="00771A0A">
      <w:pPr>
        <w:jc w:val="center"/>
      </w:pPr>
      <w:r>
        <w:lastRenderedPageBreak/>
        <w:t>Вместо того чтобы сравнивать отношения правдоподобия, можно сравнить их логарифмы, что приводит к следующему правилу (алгоритму) оптимального некогерентного приёма для двоичной системы сигналов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0FF905B1" wp14:editId="5F5C12A4">
            <wp:extent cx="2124075" cy="485775"/>
            <wp:effectExtent l="0" t="0" r="9525" b="9525"/>
            <wp:docPr id="10" name="Picture 10" descr="C:\Users\Василий\Desktop\Нов лек ТЭС\Лекции ТЭС последние\ГЛАВА 2_files\image3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Василий\Desktop\Нов лек ТЭС\Лекции ТЭС последние\ГЛАВА 2_files\image397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 (20.3)</w:t>
      </w:r>
    </w:p>
    <w:p w:rsidR="00771A0A" w:rsidRDefault="00771A0A" w:rsidP="00771A0A">
      <w:pPr>
        <w:jc w:val="center"/>
      </w:pPr>
      <w:r>
        <w:t>При выполнении этого неравенства регистрируется 1, в противном случае - 0.</w:t>
      </w:r>
    </w:p>
    <w:p w:rsidR="00771A0A" w:rsidRDefault="00771A0A" w:rsidP="00771A0A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6A441862" wp14:editId="51685CA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800475" cy="3914775"/>
            <wp:effectExtent l="0" t="0" r="9525" b="9525"/>
            <wp:wrapSquare wrapText="bothSides"/>
            <wp:docPr id="11" name="Picture 64" descr="C:\Users\Василий\Desktop\Нов лек ТЭС\Лекции ТЭС последние\ГЛАВА 2_files\image3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Василий\Desktop\Нов лек ТЭС\Лекции ТЭС последние\ГЛАВА 2_files\image398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391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Величины </w:t>
      </w:r>
      <w:proofErr w:type="spellStart"/>
      <w:r>
        <w:rPr>
          <w:i/>
          <w:iCs/>
          <w:lang w:val="en-US"/>
        </w:rPr>
        <w:t>y</w:t>
      </w:r>
      <w:r>
        <w:rPr>
          <w:i/>
          <w:iCs/>
          <w:vertAlign w:val="subscript"/>
          <w:lang w:val="en-US"/>
        </w:rPr>
        <w:t>i</w:t>
      </w:r>
      <w:proofErr w:type="spellEnd"/>
      <w:r>
        <w:t xml:space="preserve"> и </w:t>
      </w:r>
      <w:r>
        <w:rPr>
          <w:noProof/>
          <w:vertAlign w:val="subscript"/>
        </w:rPr>
        <w:drawing>
          <wp:inline distT="0" distB="0" distL="0" distR="0" wp14:anchorId="2BB6CEC7" wp14:editId="1F2781E9">
            <wp:extent cx="161925" cy="228600"/>
            <wp:effectExtent l="0" t="0" r="9525" b="0"/>
            <wp:docPr id="12" name="Picture 12" descr="C:\Users\Василий\Desktop\Нов лек ТЭС\Лекции ТЭС последние\ГЛАВА 2_files\image3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Василий\Desktop\Нов лек ТЭС\Лекции ТЭС последние\ГЛАВА 2_files\image399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можно получить в момент отсчёта </w:t>
      </w:r>
      <w:r>
        <w:rPr>
          <w:i/>
          <w:iCs/>
        </w:rPr>
        <w:t>Т</w:t>
      </w:r>
      <w:r>
        <w:t xml:space="preserve"> на выходе активного фильтра с опорными сигналами, равными соответственно </w:t>
      </w:r>
      <w:proofErr w:type="spellStart"/>
      <w:r>
        <w:rPr>
          <w:i/>
          <w:iCs/>
          <w:lang w:val="en-US"/>
        </w:rPr>
        <w:t>u</w:t>
      </w:r>
      <w:r>
        <w:rPr>
          <w:i/>
          <w:iCs/>
          <w:vertAlign w:val="subscript"/>
          <w:lang w:val="en-US"/>
        </w:rPr>
        <w:t>i</w:t>
      </w:r>
      <w:proofErr w:type="spellEnd"/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и </w:t>
      </w:r>
      <w:r>
        <w:rPr>
          <w:noProof/>
          <w:vertAlign w:val="subscript"/>
        </w:rPr>
        <w:drawing>
          <wp:inline distT="0" distB="0" distL="0" distR="0" wp14:anchorId="49AF8469" wp14:editId="6D7795E5">
            <wp:extent cx="333375" cy="228600"/>
            <wp:effectExtent l="0" t="0" r="9525" b="0"/>
            <wp:docPr id="13" name="Picture 13" descr="C:\Users\Василий\Desktop\Нов лек ТЭС\Лекции ТЭС последние\ГЛАВА 2_files\image4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Василий\Desktop\Нов лек ТЭС\Лекции ТЭС последние\ГЛАВА 2_files\image400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 С учётом сказанного, понятно построение на основе активных фильтров схемы, называемой квадратурной и реализующей алгоритм (20.3) (см. рисунок 20.1). Здесь Г</w:t>
      </w:r>
      <w:r>
        <w:rPr>
          <w:vertAlign w:val="subscript"/>
        </w:rPr>
        <w:t>0</w:t>
      </w:r>
      <w:r>
        <w:t>, Г</w:t>
      </w:r>
      <w:r>
        <w:rPr>
          <w:vertAlign w:val="subscript"/>
        </w:rPr>
        <w:t>1</w:t>
      </w:r>
      <w:r>
        <w:t xml:space="preserve"> -соответственно генераторы опорных сигналов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0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),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1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); </w:t>
      </w:r>
      <w:r>
        <w:t xml:space="preserve">φ —фазовращатель всех сигнальных компонент на –π/2 (преобразователь Гильберта); БОМ - блок определения модуля вектора </w:t>
      </w:r>
      <w:r>
        <w:rPr>
          <w:i/>
          <w:iCs/>
        </w:rPr>
        <w:t>V</w:t>
      </w:r>
      <w:proofErr w:type="spellStart"/>
      <w:r>
        <w:rPr>
          <w:i/>
          <w:iCs/>
          <w:vertAlign w:val="subscript"/>
          <w:lang w:val="en-US"/>
        </w:rPr>
        <w:t>i</w:t>
      </w:r>
      <w:proofErr w:type="spellEnd"/>
      <w:r>
        <w:rPr>
          <w:i/>
          <w:iCs/>
        </w:rPr>
        <w:t>=</w:t>
      </w:r>
      <w:r>
        <w:t>|</w:t>
      </w:r>
      <w:r>
        <w:rPr>
          <w:i/>
          <w:iCs/>
        </w:rPr>
        <w:t xml:space="preserve"> у</w:t>
      </w:r>
      <w:proofErr w:type="spellStart"/>
      <w:r>
        <w:rPr>
          <w:i/>
          <w:iCs/>
          <w:vertAlign w:val="subscript"/>
          <w:lang w:val="en-US"/>
        </w:rPr>
        <w:t>i</w:t>
      </w:r>
      <w:proofErr w:type="spellEnd"/>
      <w:r>
        <w:rPr>
          <w:i/>
          <w:iCs/>
        </w:rPr>
        <w:t>,+</w:t>
      </w:r>
      <w:r>
        <w:rPr>
          <w:i/>
          <w:iCs/>
          <w:lang w:val="en-US"/>
        </w:rPr>
        <w:t>j</w:t>
      </w:r>
      <w:r>
        <w:rPr>
          <w:i/>
          <w:noProof/>
          <w:vertAlign w:val="subscript"/>
        </w:rPr>
        <w:drawing>
          <wp:inline distT="0" distB="0" distL="0" distR="0" wp14:anchorId="1FBE65A9" wp14:editId="664EB46C">
            <wp:extent cx="161925" cy="228600"/>
            <wp:effectExtent l="0" t="0" r="9525" b="0"/>
            <wp:docPr id="14" name="Picture 14" descr="C:\Users\Василий\Desktop\Нов лек ТЭС\Лекции ТЭС последние\ГЛАВА 2_files\image3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Василий\Desktop\Нов лек ТЭС\Лекции ТЭС последние\ГЛАВА 2_files\image399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|</w:t>
      </w:r>
      <w:r>
        <w:rPr>
          <w:i/>
          <w:iCs/>
        </w:rPr>
        <w:t>,</w:t>
      </w:r>
      <w:r>
        <w:t xml:space="preserve"> по ортогональным компонентам; НУ - нелинейные безынерционные устройства с характеристикой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746C7DA1" wp14:editId="011C86FF">
            <wp:extent cx="1247775" cy="485775"/>
            <wp:effectExtent l="0" t="0" r="9525" b="9525"/>
            <wp:docPr id="15" name="Picture 15" descr="C:\Users\Василий\Desktop\Нов лек ТЭС\Лекции ТЭС последние\ГЛАВА 2_files\image4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Василий\Desktop\Нов лек ТЭС\Лекции ТЭС последние\ГЛАВА 2_files\image401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A0A" w:rsidRDefault="00771A0A" w:rsidP="00771A0A">
      <w:pPr>
        <w:jc w:val="center"/>
      </w:pPr>
    </w:p>
    <w:p w:rsidR="00771A0A" w:rsidRDefault="00771A0A" w:rsidP="00771A0A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3E73A1B4" wp14:editId="750F51A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676650" cy="800100"/>
            <wp:effectExtent l="0" t="0" r="0" b="0"/>
            <wp:wrapSquare wrapText="bothSides"/>
            <wp:docPr id="16" name="Picture 65" descr="Подпись: Рисунок 20.1 - Квадратурная схема реали-зации оптимального приема дискретных со-общений при неопределённой фазе сигна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Подпись: Рисунок 20.1 - Квадратурная схема реали-зации оптимального приема дискретных со-общений при неопределённой фазе сигнала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Подчеркнём, что величины </w:t>
      </w:r>
      <w:r>
        <w:rPr>
          <w:i/>
          <w:iCs/>
          <w:lang w:val="en-US"/>
        </w:rPr>
        <w:t>V</w:t>
      </w:r>
      <w:r>
        <w:rPr>
          <w:i/>
          <w:iCs/>
          <w:vertAlign w:val="subscript"/>
          <w:lang w:val="en-US"/>
        </w:rPr>
        <w:t>i</w:t>
      </w:r>
      <w:r>
        <w:t xml:space="preserve"> не зависят от начальной фазы сигналов </w:t>
      </w:r>
      <w:proofErr w:type="spellStart"/>
      <w:r>
        <w:rPr>
          <w:i/>
          <w:iCs/>
          <w:lang w:val="en-US"/>
        </w:rPr>
        <w:t>u</w:t>
      </w:r>
      <w:r>
        <w:rPr>
          <w:i/>
          <w:iCs/>
          <w:vertAlign w:val="subscript"/>
          <w:lang w:val="en-US"/>
        </w:rPr>
        <w:t>i</w:t>
      </w:r>
      <w:proofErr w:type="spellEnd"/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</w:t>
      </w:r>
      <w:r>
        <w:t xml:space="preserve">и, как видно из (20.2), пропорциональны огибающей (в моменты отсчёта, кратные </w:t>
      </w:r>
      <w:r>
        <w:rPr>
          <w:lang w:val="en-US"/>
        </w:rPr>
        <w:t>T</w:t>
      </w:r>
      <w:r>
        <w:t xml:space="preserve">) на выходе фильтра, согласованного с сигналом </w:t>
      </w:r>
      <w:proofErr w:type="spellStart"/>
      <w:r>
        <w:rPr>
          <w:i/>
          <w:iCs/>
          <w:lang w:val="en-US"/>
        </w:rPr>
        <w:t>u</w:t>
      </w:r>
      <w:r>
        <w:rPr>
          <w:i/>
          <w:iCs/>
          <w:vertAlign w:val="subscript"/>
          <w:lang w:val="en-US"/>
        </w:rPr>
        <w:t>i</w:t>
      </w:r>
      <w:proofErr w:type="spellEnd"/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  <w:r>
        <w:t xml:space="preserve"> Таким образом, алгоритм (20.3) можно реализовать и на базе согласованных фильтров, как показано на рисунке 20.2.</w:t>
      </w:r>
    </w:p>
    <w:p w:rsidR="00771A0A" w:rsidRDefault="00771A0A" w:rsidP="00771A0A">
      <w:pPr>
        <w:jc w:val="center"/>
      </w:pPr>
      <w:r>
        <w:t>Для двоичной системы с пассивной паузой, полагая, что символ 0 переда</w:t>
      </w:r>
      <w:r>
        <w:softHyphen/>
        <w:t xml:space="preserve">ётся сигналом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0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= 0, правило можно записать в виде</w:t>
      </w:r>
    </w:p>
    <w:p w:rsidR="00771A0A" w:rsidRDefault="00771A0A" w:rsidP="00771A0A">
      <w:pPr>
        <w:jc w:val="center"/>
      </w:pPr>
      <w:r>
        <w:rPr>
          <w:lang w:val="en-US"/>
        </w:rPr>
        <w:t>V</w:t>
      </w:r>
      <w:r>
        <w:rPr>
          <w:vertAlign w:val="subscript"/>
        </w:rPr>
        <w:t>1</w:t>
      </w:r>
      <w:r>
        <w:t>&gt;</w:t>
      </w:r>
      <w:r>
        <w:rPr>
          <w:lang w:val="en-US"/>
        </w:rPr>
        <w:t>λ</w:t>
      </w:r>
      <w:r>
        <w:t>,                                       (20.4)</w:t>
      </w:r>
    </w:p>
    <w:p w:rsidR="00771A0A" w:rsidRDefault="00771A0A" w:rsidP="00771A0A">
      <w:pPr>
        <w:jc w:val="center"/>
      </w:pPr>
      <w:r>
        <w:t xml:space="preserve">где пороговый уровень </w:t>
      </w:r>
      <w:r>
        <w:rPr>
          <w:noProof/>
          <w:vertAlign w:val="subscript"/>
        </w:rPr>
        <w:drawing>
          <wp:inline distT="0" distB="0" distL="0" distR="0" wp14:anchorId="67BC621C" wp14:editId="410CC27C">
            <wp:extent cx="904875" cy="409575"/>
            <wp:effectExtent l="0" t="0" r="9525" b="9525"/>
            <wp:docPr id="17" name="Picture 17" descr="C:\Users\Василий\Desktop\Нов лек ТЭС\Лекции ТЭС последние\ГЛАВА 2_files\image4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Василий\Desktop\Нов лек ТЭС\Лекции ТЭС последние\ГЛАВА 2_files\image403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771A0A" w:rsidRDefault="00771A0A" w:rsidP="00771A0A">
      <w:pPr>
        <w:jc w:val="center"/>
      </w:pPr>
      <w:r>
        <w:t xml:space="preserve">а функция </w:t>
      </w:r>
      <w:r>
        <w:rPr>
          <w:i/>
          <w:iCs/>
          <w:lang w:val="en-US"/>
        </w:rPr>
        <w:t>x</w:t>
      </w:r>
      <w:r>
        <w:rPr>
          <w:i/>
          <w:iCs/>
        </w:rPr>
        <w:t xml:space="preserve"> = </w:t>
      </w:r>
      <w:r>
        <w:rPr>
          <w:i/>
          <w:iCs/>
          <w:lang w:val="en-US"/>
        </w:rPr>
        <w:t>f</w:t>
      </w:r>
      <w:r>
        <w:rPr>
          <w:i/>
          <w:iCs/>
        </w:rPr>
        <w:t>(</w:t>
      </w:r>
      <w:r>
        <w:rPr>
          <w:i/>
          <w:iCs/>
          <w:lang w:val="en-US"/>
        </w:rPr>
        <w:t>y</w:t>
      </w:r>
      <w:r>
        <w:rPr>
          <w:i/>
          <w:iCs/>
        </w:rPr>
        <w:t>)</w:t>
      </w:r>
      <w:r>
        <w:t xml:space="preserve"> обратна функции </w:t>
      </w:r>
      <w:r>
        <w:rPr>
          <w:i/>
          <w:iCs/>
        </w:rPr>
        <w:t>у</w:t>
      </w:r>
      <w:r>
        <w:t xml:space="preserve"> = </w:t>
      </w:r>
      <w:r>
        <w:rPr>
          <w:i/>
          <w:iCs/>
          <w:lang w:val="en-US"/>
        </w:rPr>
        <w:t>l</w:t>
      </w:r>
      <w:r>
        <w:rPr>
          <w:i/>
          <w:iCs/>
        </w:rPr>
        <w:t>п</w:t>
      </w:r>
      <w:r>
        <w:rPr>
          <w:i/>
          <w:iCs/>
          <w:lang w:val="en-US"/>
        </w:rPr>
        <w:t>I</w:t>
      </w:r>
      <w:r>
        <w:rPr>
          <w:i/>
          <w:iCs/>
          <w:vertAlign w:val="subscript"/>
        </w:rPr>
        <w:t>0</w:t>
      </w:r>
      <w:r>
        <w:rPr>
          <w:i/>
          <w:iCs/>
        </w:rPr>
        <w:t>(х).</w:t>
      </w:r>
      <w:r>
        <w:t xml:space="preserve"> При выполнении неравенства (20.4) (превышение </w:t>
      </w:r>
      <w:r>
        <w:rPr>
          <w:i/>
          <w:iCs/>
          <w:lang w:val="en-US"/>
        </w:rPr>
        <w:t>V</w:t>
      </w:r>
      <w:r>
        <w:rPr>
          <w:i/>
          <w:iCs/>
          <w:vertAlign w:val="subscript"/>
        </w:rPr>
        <w:t>1</w:t>
      </w:r>
      <w:r>
        <w:t xml:space="preserve"> над порогом) регистрируется символ 1, в противном случае — символ 0.</w:t>
      </w:r>
    </w:p>
    <w:p w:rsidR="00771A0A" w:rsidRDefault="00771A0A" w:rsidP="00771A0A">
      <w:pPr>
        <w:jc w:val="center"/>
      </w:pPr>
      <w:r>
        <w:rPr>
          <w:noProof/>
        </w:rPr>
        <w:drawing>
          <wp:inline distT="0" distB="0" distL="0" distR="0" wp14:anchorId="218DE19F" wp14:editId="5B154AAE">
            <wp:extent cx="4162425" cy="1543050"/>
            <wp:effectExtent l="0" t="0" r="9525" b="0"/>
            <wp:docPr id="18" name="Picture 18" descr="C:\Users\Василий\Desktop\Нов лек ТЭС\Лекции ТЭС последние\ГЛАВА 2_files\image4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Василий\Desktop\Нов лек ТЭС\Лекции ТЭС последние\ГЛАВА 2_files\image404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A0A" w:rsidRDefault="00771A0A" w:rsidP="00771A0A">
      <w:pPr>
        <w:jc w:val="center"/>
      </w:pPr>
      <w:r>
        <w:t>Рисунок 20.2 - Квадратурная схема реализации оптимального приема дискретных сообщений при неопределенной фазе сигнала</w:t>
      </w:r>
    </w:p>
    <w:p w:rsidR="00771A0A" w:rsidRDefault="00771A0A" w:rsidP="00771A0A">
      <w:pPr>
        <w:jc w:val="center"/>
      </w:pPr>
    </w:p>
    <w:p w:rsidR="00771A0A" w:rsidRDefault="00771A0A" w:rsidP="00771A0A">
      <w:pPr>
        <w:jc w:val="center"/>
      </w:pPr>
      <w:r>
        <w:t xml:space="preserve">Введём ещё одно полезное определение. Будем называть </w:t>
      </w:r>
      <w:r>
        <w:rPr>
          <w:i/>
          <w:iCs/>
        </w:rPr>
        <w:t>вектором ошибок</w:t>
      </w:r>
      <w:r>
        <w:t xml:space="preserve"> поразрядную разность (разумеется, по модулю </w:t>
      </w:r>
      <w:r>
        <w:rPr>
          <w:i/>
          <w:iCs/>
        </w:rPr>
        <w:t>т)</w:t>
      </w:r>
      <w:r>
        <w:t xml:space="preserve"> между принятым и переданным векторами. </w:t>
      </w:r>
      <w:r>
        <w:rPr>
          <w:i/>
          <w:iCs/>
        </w:rPr>
        <w:t xml:space="preserve">В общем случае для любых </w:t>
      </w:r>
      <w:r>
        <w:t xml:space="preserve">входных и выходных сигналов последовательностей </w:t>
      </w:r>
      <w:r>
        <w:rPr>
          <w:i/>
          <w:iCs/>
        </w:rPr>
        <w:t>п</w:t>
      </w:r>
      <w:r>
        <w:t xml:space="preserve"> кодовых символов</w:t>
      </w:r>
      <w:r>
        <w:rPr>
          <w:i/>
          <w:iCs/>
        </w:rPr>
        <w:t xml:space="preserve">  должна б</w:t>
      </w:r>
      <w:r>
        <w:t>ыть указана вероятность того, что при подаче на вход канала любой заданной последовательности В</w:t>
      </w:r>
      <w:r>
        <w:rPr>
          <w:vertAlign w:val="superscript"/>
        </w:rPr>
        <w:t>[</w:t>
      </w:r>
      <w:r>
        <w:rPr>
          <w:i/>
          <w:iCs/>
          <w:vertAlign w:val="superscript"/>
          <w:lang w:val="en-US"/>
        </w:rPr>
        <w:t>n</w:t>
      </w:r>
      <w:r>
        <w:rPr>
          <w:vertAlign w:val="superscript"/>
        </w:rPr>
        <w:t>]</w:t>
      </w:r>
      <w:r>
        <w:t xml:space="preserve"> кодовых символов на выходе появится некоторая реализация случайной последовательности </w:t>
      </w:r>
      <w:r>
        <w:rPr>
          <w:noProof/>
          <w:vertAlign w:val="subscript"/>
        </w:rPr>
        <w:drawing>
          <wp:inline distT="0" distB="0" distL="0" distR="0" wp14:anchorId="5ADEDEB5" wp14:editId="3312BC5E">
            <wp:extent cx="266700" cy="200025"/>
            <wp:effectExtent l="0" t="0" r="0" b="9525"/>
            <wp:docPr id="19" name="Picture 19" descr="C:\Users\Василий\Desktop\Нов лек ТЭС\Лекции ТЭС последние\ГЛАВА 2_files\image4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Василий\Desktop\Нов лек ТЭС\Лекции ТЭС последние\ГЛАВА 2_files\image405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Кодовые символы обозначим числами от 0 до </w:t>
      </w:r>
      <w:r>
        <w:rPr>
          <w:i/>
          <w:iCs/>
          <w:lang w:val="en-US"/>
        </w:rPr>
        <w:t>m</w:t>
      </w:r>
      <w:r>
        <w:t xml:space="preserve">-1, где </w:t>
      </w:r>
      <w:r>
        <w:rPr>
          <w:i/>
          <w:iCs/>
        </w:rPr>
        <w:t>т</w:t>
      </w:r>
      <w:r>
        <w:t xml:space="preserve"> различных символов (основание кода), что позволит производить над ними арифметические операции. При этом все </w:t>
      </w:r>
      <w:r>
        <w:rPr>
          <w:i/>
          <w:iCs/>
        </w:rPr>
        <w:t xml:space="preserve">п - </w:t>
      </w:r>
      <w:r>
        <w:t xml:space="preserve">последовательности (векторы), число которых равно </w:t>
      </w:r>
      <w:proofErr w:type="spellStart"/>
      <w:r>
        <w:rPr>
          <w:i/>
          <w:iCs/>
          <w:lang w:val="en-US"/>
        </w:rPr>
        <w:t>m</w:t>
      </w:r>
      <w:r>
        <w:rPr>
          <w:i/>
          <w:iCs/>
          <w:vertAlign w:val="superscript"/>
          <w:lang w:val="en-US"/>
        </w:rPr>
        <w:t>n</w:t>
      </w:r>
      <w:proofErr w:type="spellEnd"/>
      <w:r>
        <w:t xml:space="preserve">, образуют </w:t>
      </w:r>
      <w:r>
        <w:rPr>
          <w:i/>
          <w:iCs/>
        </w:rPr>
        <w:t>п —</w:t>
      </w:r>
      <w:r>
        <w:t xml:space="preserve"> мерное конечное векторное пространство, если "сложение" понимать как поразрядное суммирование по модулю </w:t>
      </w:r>
      <w:r>
        <w:rPr>
          <w:i/>
          <w:iCs/>
        </w:rPr>
        <w:t>т</w:t>
      </w:r>
      <w:r>
        <w:t xml:space="preserve"> и аналогично определить умножение на скаляр.</w:t>
      </w:r>
    </w:p>
    <w:p w:rsidR="00771A0A" w:rsidRDefault="00771A0A" w:rsidP="00771A0A">
      <w:pPr>
        <w:jc w:val="center"/>
      </w:pPr>
      <w:r>
        <w:t xml:space="preserve">Это значит, что прохождение дискретного сигнала через канал можно рассматривать как сложение входного вектора с вектором ошибки. Вектор ошибки играет в дискретном канале примерно ту же роль, что и помеха в непрерывном канале. Таким образом, для любой модели дискретного канала можно записать, пользуясь сложением в векторном  пространстве (поразрядным, по модулю </w:t>
      </w:r>
      <w:r>
        <w:rPr>
          <w:i/>
          <w:iCs/>
          <w:lang w:val="en-US"/>
        </w:rPr>
        <w:t>m</w:t>
      </w:r>
      <w:r>
        <w:t xml:space="preserve">) </w:t>
      </w:r>
      <w:r>
        <w:rPr>
          <w:noProof/>
          <w:vertAlign w:val="subscript"/>
        </w:rPr>
        <w:drawing>
          <wp:inline distT="0" distB="0" distL="0" distR="0" wp14:anchorId="70D12A3A" wp14:editId="234DE93C">
            <wp:extent cx="1057275" cy="200025"/>
            <wp:effectExtent l="0" t="0" r="9525" b="9525"/>
            <wp:docPr id="20" name="Picture 20" descr="C:\Users\Василий\Desktop\Нов лек ТЭС\Лекции ТЭС последние\ГЛАВА 2_files\image4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Василий\Desktop\Нов лек ТЭС\Лекции ТЭС последние\ГЛАВА 2_files\image406.gif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где </w:t>
      </w:r>
      <w:r>
        <w:rPr>
          <w:noProof/>
          <w:vertAlign w:val="subscript"/>
        </w:rPr>
        <w:drawing>
          <wp:inline distT="0" distB="0" distL="0" distR="0" wp14:anchorId="7EF96781" wp14:editId="4104AF5B">
            <wp:extent cx="266700" cy="190500"/>
            <wp:effectExtent l="0" t="0" r="0" b="0"/>
            <wp:docPr id="21" name="Picture 21" descr="C:\Users\Василий\Desktop\Нов лек ТЭС\Лекции ТЭС последние\ГЛАВА 2_files\image4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Василий\Desktop\Нов лек ТЭС\Лекции ТЭС последние\ГЛАВА 2_files\image407.gif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и </w:t>
      </w:r>
      <w:r>
        <w:rPr>
          <w:noProof/>
          <w:vertAlign w:val="subscript"/>
        </w:rPr>
        <w:drawing>
          <wp:inline distT="0" distB="0" distL="0" distR="0" wp14:anchorId="6BC81AAF" wp14:editId="76B4A99A">
            <wp:extent cx="266700" cy="200025"/>
            <wp:effectExtent l="0" t="0" r="0" b="9525"/>
            <wp:docPr id="22" name="Picture 22" descr="C:\Users\Василий\Desktop\Нов лек ТЭС\Лекции ТЭС последние\ГЛАВА 2_files\image4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Василий\Desktop\Нов лек ТЭС\Лекции ТЭС последние\ГЛАВА 2_files\image405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— случайные последовательности из </w:t>
      </w:r>
      <w:r>
        <w:rPr>
          <w:i/>
          <w:iCs/>
        </w:rPr>
        <w:t>п</w:t>
      </w:r>
      <w:r>
        <w:t xml:space="preserve"> символов на входе и выходе канала; </w:t>
      </w:r>
      <w:r>
        <w:rPr>
          <w:noProof/>
          <w:vertAlign w:val="subscript"/>
        </w:rPr>
        <w:drawing>
          <wp:inline distT="0" distB="0" distL="0" distR="0" wp14:anchorId="0BDB66DE" wp14:editId="7B06181B">
            <wp:extent cx="266700" cy="190500"/>
            <wp:effectExtent l="0" t="0" r="0" b="0"/>
            <wp:docPr id="23" name="Picture 23" descr="C:\Users\Василий\Desktop\Нов лек ТЭС\Лекции ТЭС последние\ГЛАВА 2_files\image4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асилий\Desktop\Нов лек ТЭС\Лекции ТЭС последние\ГЛАВА 2_files\image408.gif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— случайный вектор ошибки, который в общем случае зависит от </w:t>
      </w:r>
      <w:r>
        <w:rPr>
          <w:noProof/>
          <w:vertAlign w:val="subscript"/>
        </w:rPr>
        <w:drawing>
          <wp:inline distT="0" distB="0" distL="0" distR="0" wp14:anchorId="33D7AC42" wp14:editId="73F841E8">
            <wp:extent cx="266700" cy="190500"/>
            <wp:effectExtent l="0" t="0" r="0" b="0"/>
            <wp:docPr id="24" name="Picture 24" descr="C:\Users\Василий\Desktop\Нов лек ТЭС\Лекции ТЭС последние\ГЛАВА 2_files\image4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Василий\Desktop\Нов лек ТЭС\Лекции ТЭС последние\ГЛАВА 2_files\image407.gif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Различные модели отличаются распределением вероятностей вектора </w:t>
      </w:r>
      <w:r>
        <w:rPr>
          <w:noProof/>
          <w:vertAlign w:val="subscript"/>
        </w:rPr>
        <w:drawing>
          <wp:inline distT="0" distB="0" distL="0" distR="0" wp14:anchorId="16054AA2" wp14:editId="640CEB50">
            <wp:extent cx="266700" cy="190500"/>
            <wp:effectExtent l="0" t="0" r="0" b="0"/>
            <wp:docPr id="25" name="Picture 25" descr="C:\Users\Василий\Desktop\Нов лек ТЭС\Лекции ТЭС последние\ГЛАВА 2_files\image4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асилий\Desktop\Нов лек ТЭС\Лекции ТЭС последние\ГЛАВА 2_files\image408.gif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Смысл вектора ошибки особенно прост в случае двоичных каналов </w:t>
      </w:r>
      <w:r>
        <w:rPr>
          <w:i/>
          <w:iCs/>
        </w:rPr>
        <w:t>(т</w:t>
      </w:r>
      <w:r>
        <w:t xml:space="preserve"> = 2), когда его компоненты принимают значения 0 и 1. Всякая единица в векторе ошибок означает, что в соответствующем месте передаваемой последовательности символ принят ошибочно, а всякий нуль означает безошибочный приём символа. Число ненулевых символов в векторе ошибок называется его </w:t>
      </w:r>
      <w:r>
        <w:rPr>
          <w:i/>
          <w:iCs/>
        </w:rPr>
        <w:t>весом.</w:t>
      </w:r>
      <w:r>
        <w:t xml:space="preserve"> Образно говоря, модем, осуществляющий переход от непрерывного канала к дискретному, преобразует помехи и искажения непрерывного канала в поток ошибок.</w:t>
      </w:r>
    </w:p>
    <w:p w:rsidR="00771A0A" w:rsidRDefault="00771A0A" w:rsidP="00771A0A">
      <w:pPr>
        <w:jc w:val="center"/>
      </w:pPr>
      <w:r>
        <w:t xml:space="preserve">Случайный стационарный процесс называют </w:t>
      </w:r>
      <w:r>
        <w:rPr>
          <w:i/>
          <w:iCs/>
        </w:rPr>
        <w:t>эргодическим,</w:t>
      </w:r>
      <w:r>
        <w:t xml:space="preserve"> если при нахождении его моментных функций усреднение по статистическому ансамблю можно заменить усреднением по времени. Операция усреднения выполняется над единственной реализацией </w:t>
      </w:r>
      <w:r>
        <w:rPr>
          <w:i/>
          <w:iCs/>
        </w:rPr>
        <w:t>х(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длительность </w:t>
      </w:r>
      <w:r>
        <w:rPr>
          <w:i/>
          <w:iCs/>
        </w:rPr>
        <w:t>Т</w:t>
      </w:r>
      <w:r>
        <w:t xml:space="preserve"> которой теоретически может быть сколь угодно велика. Обозначая усреднение по времени угловыми скобками, запишем математическое ожидание случайного эргодического процесса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5EAC3A52" wp14:editId="104648F6">
            <wp:extent cx="1752600" cy="514350"/>
            <wp:effectExtent l="0" t="0" r="0" b="0"/>
            <wp:docPr id="26" name="Picture 26" descr="C:\Users\Василий\Desktop\Нов лек ТЭС\Лекции ТЭС последние\ГЛАВА 2_files\image4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асилий\Desktop\Нов лек ТЭС\Лекции ТЭС последние\ГЛАВА 2_files\image409.gif"/>
                    <pic:cNvPicPr>
                      <a:picLocks noChangeAspect="1" noChangeArrowheads="1"/>
                    </pic:cNvPicPr>
                  </pic:nvPicPr>
                  <pic:blipFill>
                    <a:blip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            (20.5)</w:t>
      </w:r>
    </w:p>
    <w:p w:rsidR="00771A0A" w:rsidRDefault="00771A0A" w:rsidP="00771A0A">
      <w:pPr>
        <w:jc w:val="center"/>
      </w:pPr>
      <w:r>
        <w:t>которое  равно постоянной составляющей выбранной реализации.</w:t>
      </w:r>
    </w:p>
    <w:p w:rsidR="00771A0A" w:rsidRDefault="00771A0A" w:rsidP="00771A0A">
      <w:pPr>
        <w:jc w:val="center"/>
      </w:pPr>
      <w:r>
        <w:t>Дисперсия подобного процесса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7369D1CB" wp14:editId="3DA23D13">
            <wp:extent cx="3724275" cy="514350"/>
            <wp:effectExtent l="0" t="0" r="9525" b="0"/>
            <wp:docPr id="27" name="Picture 27" descr="C:\Users\Василий\Desktop\Нов лек ТЭС\Лекции ТЭС последние\ГЛАВА 2_files\image4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асилий\Desktop\Нов лек ТЭС\Лекции ТЭС последние\ГЛАВА 2_files\image410.gif"/>
                    <pic:cNvPicPr>
                      <a:picLocks noChangeAspect="1" noChangeArrowheads="1"/>
                    </pic:cNvPicPr>
                  </pic:nvPicPr>
                  <pic:blipFill>
                    <a:blip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 (20.6)</w:t>
      </w:r>
    </w:p>
    <w:p w:rsidR="00771A0A" w:rsidRDefault="00771A0A" w:rsidP="00771A0A">
      <w:pPr>
        <w:jc w:val="center"/>
      </w:pPr>
      <w:r>
        <w:t>Поскольку величина &lt;</w:t>
      </w:r>
      <w:r>
        <w:rPr>
          <w:lang w:val="en-US"/>
        </w:rPr>
        <w:t>x</w:t>
      </w:r>
      <w:r>
        <w:rPr>
          <w:vertAlign w:val="superscript"/>
        </w:rPr>
        <w:t>2</w:t>
      </w:r>
      <w:r>
        <w:t xml:space="preserve">&gt; представляет собой среднюю мощность реализации, а величина </w:t>
      </w:r>
      <w:r>
        <w:rPr>
          <w:lang w:val="en-US"/>
        </w:rPr>
        <w:t>m</w:t>
      </w:r>
      <w:r>
        <w:rPr>
          <w:vertAlign w:val="superscript"/>
        </w:rPr>
        <w:t>2</w:t>
      </w:r>
      <w:r>
        <w:t xml:space="preserve"> — мощность постоянной составляющей, дисперсия имеет наглядный смысл </w:t>
      </w:r>
      <w:r>
        <w:rPr>
          <w:i/>
          <w:iCs/>
        </w:rPr>
        <w:t xml:space="preserve">мощности флуктуационной составляющей эргодического процесса. </w:t>
      </w:r>
      <w:r>
        <w:t>Аналогично находят функцию корреляции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140DE423" wp14:editId="73F5CB35">
            <wp:extent cx="4895850" cy="485775"/>
            <wp:effectExtent l="0" t="0" r="0" b="9525"/>
            <wp:docPr id="28" name="Picture 28" descr="C:\Users\Василий\Desktop\Нов лек ТЭС\Лекции ТЭС последние\ГЛАВА 2_files\image4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силий\Desktop\Нов лек ТЭС\Лекции ТЭС последние\ГЛАВА 2_files\image411.gif"/>
                    <pic:cNvPicPr>
                      <a:picLocks noChangeAspect="1" noChangeArrowheads="1"/>
                    </pic:cNvPicPr>
                  </pic:nvPicPr>
                  <pic:blipFill>
                    <a:blip r:link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(20.7)</w:t>
      </w:r>
    </w:p>
    <w:p w:rsidR="00771A0A" w:rsidRDefault="00771A0A" w:rsidP="00771A0A">
      <w:pPr>
        <w:jc w:val="center"/>
      </w:pPr>
      <w:r>
        <w:t>Случайный процесс эргодичен, если выполнено условие Слуцкого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3781AECF" wp14:editId="051C0D1A">
            <wp:extent cx="1295400" cy="514350"/>
            <wp:effectExtent l="0" t="0" r="0" b="0"/>
            <wp:docPr id="29" name="Picture 29" descr="C:\Users\Василий\Desktop\Нов лек ТЭС\Лекции ТЭС последние\ГЛАВА 2_files\image4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силий\Desktop\Нов лек ТЭС\Лекции ТЭС последние\ГЛАВА 2_files\image412.gif"/>
                    <pic:cNvPicPr>
                      <a:picLocks noChangeAspect="1" noChangeArrowheads="1"/>
                    </pic:cNvPicPr>
                  </pic:nvPicPr>
                  <pic:blipFill>
                    <a:blip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 (20.8)</w:t>
      </w:r>
    </w:p>
    <w:p w:rsidR="00771A0A" w:rsidRDefault="00771A0A" w:rsidP="00771A0A">
      <w:pPr>
        <w:jc w:val="center"/>
        <w:rPr>
          <w:rFonts w:eastAsia="Times New Roman"/>
        </w:rPr>
      </w:pPr>
      <w:r>
        <w:rPr>
          <w:rFonts w:eastAsia="Times New Roman"/>
        </w:rPr>
        <w:t>Интервал корреляции</w:t>
      </w:r>
    </w:p>
    <w:p w:rsidR="00771A0A" w:rsidRDefault="00771A0A" w:rsidP="00771A0A">
      <w:pPr>
        <w:jc w:val="center"/>
      </w:pPr>
      <w:r>
        <w:rPr>
          <w:noProof/>
          <w:vertAlign w:val="subscript"/>
        </w:rPr>
        <w:drawing>
          <wp:inline distT="0" distB="0" distL="0" distR="0" wp14:anchorId="202F4004" wp14:editId="4FB79B51">
            <wp:extent cx="1190625" cy="561975"/>
            <wp:effectExtent l="0" t="0" r="9525" b="9525"/>
            <wp:docPr id="30" name="Picture 30" descr="C:\Users\Василий\Desktop\Нов лек ТЭС\Лекции ТЭС последние\ГЛАВА 2_files\image4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силий\Desktop\Нов лек ТЭС\Лекции ТЭС последние\ГЛАВА 2_files\image413.gif"/>
                    <pic:cNvPicPr>
                      <a:picLocks noChangeAspect="1" noChangeArrowheads="1"/>
                    </pic:cNvPicPr>
                  </pic:nvPicPr>
                  <pic:blipFill>
                    <a:blip r:link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.</w:t>
      </w:r>
      <w:r>
        <w:t>                            (20.9)</w:t>
      </w:r>
    </w:p>
    <w:p w:rsidR="00771A0A" w:rsidRDefault="00771A0A" w:rsidP="00771A0A">
      <w:pPr>
        <w:jc w:val="center"/>
      </w:pPr>
      <w:r>
        <w:t>Определение интервала корреляции согласно (20.9) называют методом равновеликого прямоугольника: интервал корреляции равен основанию прямоуголь</w:t>
      </w:r>
      <w:r>
        <w:softHyphen/>
        <w:t>ника с высотой, равной 1, площадь которого равна площади под кривой |</w:t>
      </w:r>
      <w:r>
        <w:rPr>
          <w:lang w:val="en-US"/>
        </w:rPr>
        <w:t>R</w:t>
      </w:r>
      <w:r>
        <w:t>(</w:t>
      </w:r>
      <w:r>
        <w:rPr>
          <w:lang w:val="en-US"/>
        </w:rPr>
        <w:t>τ</w:t>
      </w:r>
      <w:r>
        <w:t>)| при τ≥0 (см. рисунок 9.1).</w:t>
      </w:r>
    </w:p>
    <w:p w:rsidR="00771A0A" w:rsidRDefault="00771A0A" w:rsidP="00771A0A">
      <w:pPr>
        <w:jc w:val="center"/>
      </w:pPr>
      <w:r>
        <w:rPr>
          <w:noProof/>
        </w:rPr>
        <w:drawing>
          <wp:inline distT="0" distB="0" distL="0" distR="0" wp14:anchorId="51CE3F4D" wp14:editId="705F54BF">
            <wp:extent cx="2457450" cy="1371600"/>
            <wp:effectExtent l="0" t="0" r="0" b="0"/>
            <wp:docPr id="31" name="Picture 31" descr="C:\Users\Василий\Desktop\Нов лек ТЭС\Лекции ТЭС последние\ГЛАВА 2_files\image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силий\Desktop\Нов лек ТЭС\Лекции ТЭС последние\ГЛАВА 2_files\image414.jpg"/>
                    <pic:cNvPicPr>
                      <a:picLocks noChangeAspect="1" noChangeArrowheads="1"/>
                    </pic:cNvPicPr>
                  </pic:nvPicPr>
                  <pic:blipFill>
                    <a:blip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A0A" w:rsidRDefault="00771A0A" w:rsidP="00771A0A">
      <w:pPr>
        <w:jc w:val="center"/>
      </w:pPr>
      <w:r>
        <w:t>Рисунок 20.3 - Определение интервала корреляции методом равновеликого прямоугольника</w:t>
      </w:r>
    </w:p>
    <w:p w:rsidR="00771A0A" w:rsidRDefault="00771A0A" w:rsidP="00771A0A">
      <w:pPr>
        <w:jc w:val="center"/>
        <w:rPr>
          <w:rFonts w:eastAsia="Times New Roman"/>
        </w:rPr>
      </w:pPr>
      <w:r>
        <w:rPr>
          <w:rFonts w:eastAsia="Times New Roman"/>
        </w:rPr>
        <w:t>Список литературы</w:t>
      </w:r>
    </w:p>
    <w:p w:rsidR="00771A0A" w:rsidRDefault="00771A0A" w:rsidP="00771A0A">
      <w:pPr>
        <w:jc w:val="center"/>
      </w:pPr>
    </w:p>
    <w:p w:rsidR="00771A0A" w:rsidRDefault="00771A0A" w:rsidP="00771A0A">
      <w:pPr>
        <w:pStyle w:val="NoSpacing"/>
      </w:pPr>
      <w:r w:rsidRPr="008E0F12">
        <w:t>Список литературы</w:t>
      </w:r>
      <w:r w:rsidRPr="008E0F12">
        <w:tab/>
        <w:t>72</w:t>
      </w:r>
    </w:p>
    <w:p w:rsidR="00771A0A" w:rsidRDefault="00771A0A" w:rsidP="00771A0A">
      <w:pPr>
        <w:pStyle w:val="NoSpacing"/>
      </w:pPr>
      <w:r>
        <w:t>1. Андреев В.С. Теория нелинейных электрических цепей. – М.: Связь, 1972.</w:t>
      </w:r>
    </w:p>
    <w:p w:rsidR="00771A0A" w:rsidRDefault="00771A0A" w:rsidP="00771A0A">
      <w:pPr>
        <w:pStyle w:val="NoSpacing"/>
      </w:pPr>
      <w:r>
        <w:t>2. Баскаков С.И. Радиотехнические цепи и сигналы. – М.: Высшая школа, 2003.</w:t>
      </w:r>
    </w:p>
    <w:p w:rsidR="00771A0A" w:rsidRDefault="00771A0A" w:rsidP="00771A0A">
      <w:pPr>
        <w:pStyle w:val="NoSpacing"/>
      </w:pPr>
      <w:r>
        <w:t>3. Баскаков С.И. Лекции по Теории цепей. – М.: МЭИ, РОСВУЗНАУКА, 1991.</w:t>
      </w:r>
    </w:p>
    <w:p w:rsidR="00771A0A" w:rsidRDefault="00771A0A" w:rsidP="00771A0A">
      <w:pPr>
        <w:pStyle w:val="NoSpacing"/>
      </w:pPr>
      <w:r>
        <w:t>4. Цифровые фильтры в электросвязи и радиотехники. Под ред. Л. М. Гольденберга. - М.: «Радио и связь»,  1982.</w:t>
      </w:r>
    </w:p>
    <w:p w:rsidR="00771A0A" w:rsidRDefault="00771A0A" w:rsidP="00771A0A">
      <w:pPr>
        <w:pStyle w:val="NoSpacing"/>
      </w:pPr>
      <w:r>
        <w:t>5. Цифровые фильтры и их применение. Под. ред. Н. Н. Слепова. – М.: Энергоатомиздат, 1983.</w:t>
      </w:r>
    </w:p>
    <w:p w:rsidR="00771A0A" w:rsidRDefault="00771A0A" w:rsidP="00771A0A">
      <w:pPr>
        <w:pStyle w:val="NoSpacing"/>
      </w:pPr>
      <w:r>
        <w:t>6. Теория электрической связи. Под ред. Д.Д. Кловского. - М.: «Радио и связь»,  1999.</w:t>
      </w:r>
    </w:p>
    <w:p w:rsidR="00771A0A" w:rsidRDefault="00771A0A" w:rsidP="00771A0A">
      <w:pPr>
        <w:pStyle w:val="NoSpacing"/>
      </w:pPr>
      <w:r>
        <w:t xml:space="preserve">7. Скляр Б. Цифровая связь. </w:t>
      </w:r>
      <w:r>
        <w:rPr>
          <w:rFonts w:ascii="Symbol" w:hAnsi="Symbol"/>
        </w:rPr>
        <w:t></w:t>
      </w:r>
      <w:r>
        <w:t xml:space="preserve"> М., С-П., К., 2003.</w:t>
      </w:r>
    </w:p>
    <w:p w:rsidR="00771A0A" w:rsidRDefault="00771A0A" w:rsidP="00771A0A">
      <w:pPr>
        <w:pStyle w:val="NoSpacing"/>
      </w:pPr>
      <w:r>
        <w:t xml:space="preserve">8. Панфилов И.П., Дырда В.Е. Теория электрической связи. </w:t>
      </w:r>
      <w:r>
        <w:rPr>
          <w:rFonts w:ascii="Symbol" w:hAnsi="Symbol"/>
        </w:rPr>
        <w:t></w:t>
      </w:r>
      <w:r>
        <w:t xml:space="preserve"> М.: «Радио и связь», 1991.</w:t>
      </w:r>
    </w:p>
    <w:p w:rsidR="00771A0A" w:rsidRDefault="00771A0A" w:rsidP="00771A0A">
      <w:pPr>
        <w:pStyle w:val="NoSpacing"/>
      </w:pPr>
    </w:p>
    <w:p w:rsidR="00771A0A" w:rsidRDefault="00771A0A" w:rsidP="00771A0A">
      <w:pPr>
        <w:pStyle w:val="NoSpacing"/>
      </w:pPr>
      <w:r>
        <w:t>Содержание</w:t>
      </w:r>
    </w:p>
    <w:p w:rsidR="00771A0A" w:rsidRDefault="00771A0A" w:rsidP="00771A0A">
      <w:pPr>
        <w:pStyle w:val="NoSpacing"/>
      </w:pPr>
      <w:r>
        <w:tab/>
      </w:r>
    </w:p>
    <w:p w:rsidR="00771A0A" w:rsidRDefault="00771A0A" w:rsidP="00771A0A">
      <w:pPr>
        <w:pStyle w:val="NoSpacing"/>
      </w:pP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Введение</w:t>
      </w:r>
      <w:r w:rsidRPr="00050904">
        <w:rPr>
          <w:rFonts w:eastAsia="Times New Roman"/>
        </w:rPr>
        <w:tab/>
        <w:t>3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1. Общие сведения о системах электросвязи</w:t>
      </w:r>
      <w:r w:rsidRPr="00050904">
        <w:rPr>
          <w:rFonts w:eastAsia="Times New Roman"/>
        </w:rPr>
        <w:tab/>
        <w:t>4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2. Кодирование и модуляция. Помехи и искажения</w:t>
      </w:r>
      <w:r w:rsidRPr="00050904">
        <w:rPr>
          <w:rFonts w:eastAsia="Times New Roman"/>
        </w:rPr>
        <w:tab/>
        <w:t>8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3. Математические модели сообщений и сигналов. Спектральные представления сигналов</w:t>
      </w:r>
      <w:r w:rsidRPr="00050904">
        <w:rPr>
          <w:rFonts w:eastAsia="Times New Roman"/>
        </w:rPr>
        <w:tab/>
        <w:t>12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4. Динамическое представление сигналов. Дискретизация сигналов во времени</w:t>
      </w:r>
      <w:r w:rsidRPr="00050904">
        <w:rPr>
          <w:rFonts w:eastAsia="Times New Roman"/>
        </w:rPr>
        <w:tab/>
        <w:t>16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5. Амплитудная модуляция</w:t>
      </w:r>
      <w:r w:rsidRPr="00050904">
        <w:rPr>
          <w:rFonts w:eastAsia="Times New Roman"/>
        </w:rPr>
        <w:tab/>
        <w:t>20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6. Угловая модуляция</w:t>
      </w:r>
      <w:r w:rsidRPr="00050904">
        <w:rPr>
          <w:rFonts w:eastAsia="Times New Roman"/>
        </w:rPr>
        <w:tab/>
        <w:t>24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7. Частотная модуляция. Фазовая модуляция. Импульсная модуляция. Общие сведения о детектировании</w:t>
      </w:r>
      <w:r w:rsidRPr="00050904">
        <w:rPr>
          <w:rFonts w:eastAsia="Times New Roman"/>
        </w:rPr>
        <w:tab/>
        <w:t>28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8. Детектирование АМ и ЧМ-колебаний в нелинейных цепях</w:t>
      </w:r>
      <w:r w:rsidRPr="00050904">
        <w:rPr>
          <w:rFonts w:eastAsia="Times New Roman"/>
        </w:rPr>
        <w:tab/>
        <w:t>32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9. Потенциальные возможности дискретных каналов связи</w:t>
      </w:r>
      <w:r w:rsidRPr="00050904">
        <w:rPr>
          <w:rFonts w:eastAsia="Times New Roman"/>
        </w:rPr>
        <w:tab/>
        <w:t>36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10. Методы повышения верности передачи дискретной информации</w:t>
      </w:r>
      <w:r w:rsidRPr="00050904">
        <w:rPr>
          <w:rFonts w:eastAsia="Times New Roman"/>
        </w:rPr>
        <w:tab/>
        <w:t>40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11. Классификация помехоустойчивых кодов. Циклические коды</w:t>
      </w:r>
      <w:r w:rsidRPr="00050904">
        <w:rPr>
          <w:rFonts w:eastAsia="Times New Roman"/>
        </w:rPr>
        <w:tab/>
        <w:t>44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12. Спектральный анализ непериодических сигналов. Преобразование Фурье. Спектральные плотности неинтегрируемых сигналов. Энергетические спектры сигналов</w:t>
      </w:r>
      <w:r w:rsidRPr="00050904">
        <w:rPr>
          <w:rFonts w:eastAsia="Times New Roman"/>
        </w:rPr>
        <w:tab/>
        <w:t>48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13. Принципы корреляционного анализа. Случайные процессы и их основные характеристики</w:t>
      </w:r>
      <w:r w:rsidRPr="00050904">
        <w:rPr>
          <w:rFonts w:eastAsia="Times New Roman"/>
        </w:rPr>
        <w:tab/>
        <w:t>52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14. Случайные процессы и их основные характеристики. Общие сведения о каналах связи. Преобразование сигналов в линейных каналах связи</w:t>
      </w:r>
      <w:r w:rsidRPr="00050904">
        <w:rPr>
          <w:rFonts w:eastAsia="Times New Roman"/>
        </w:rPr>
        <w:tab/>
        <w:t>56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15. Преобразование сигналов в линейных и нелинейных каналах связи</w:t>
      </w:r>
      <w:r w:rsidRPr="00050904">
        <w:rPr>
          <w:rFonts w:eastAsia="Times New Roman"/>
        </w:rPr>
        <w:tab/>
        <w:t>60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16. Модель дискретно-непрерывного канала. Критерии качества и правила приема дискретных сообщений. Теория помехоустойчивости систем передачи дискретных сообщений</w:t>
      </w:r>
      <w:r w:rsidRPr="00050904">
        <w:rPr>
          <w:rFonts w:eastAsia="Times New Roman"/>
        </w:rPr>
        <w:tab/>
        <w:t>64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17. Оптимальный приемник с согласованным фильтром</w:t>
      </w:r>
      <w:r w:rsidRPr="00050904">
        <w:rPr>
          <w:rFonts w:eastAsia="Times New Roman"/>
        </w:rPr>
        <w:tab/>
        <w:t>68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18. Помехоустойчивость оптимального когерентного приема. Теоремы Шеннона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19. Прием сигналов с неопределенной фазой (некогерентный прием). Потенциальные возможности дискретных каналов связи. Свойство эргодичности</w:t>
      </w:r>
    </w:p>
    <w:p w:rsidR="00771A0A" w:rsidRPr="00050904" w:rsidRDefault="00771A0A" w:rsidP="00771A0A">
      <w:pPr>
        <w:pStyle w:val="NoSpacing"/>
        <w:rPr>
          <w:rFonts w:eastAsia="Times New Roman"/>
        </w:rPr>
      </w:pPr>
      <w:r w:rsidRPr="00050904">
        <w:rPr>
          <w:rFonts w:eastAsia="Times New Roman"/>
        </w:rPr>
        <w:t>Лекция 20. Преобразование сигналов в каналах связи. Аддитивные помехи в канале</w:t>
      </w:r>
    </w:p>
    <w:p w:rsidR="00E10DA9" w:rsidRDefault="00771A0A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34E"/>
    <w:rsid w:val="000A3B22"/>
    <w:rsid w:val="00771A0A"/>
    <w:rsid w:val="00916217"/>
    <w:rsid w:val="0097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A0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1A0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A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A0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A0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1A0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A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A0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91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96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01.gif" TargetMode="External"/><Relationship Id="rId2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09.gif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04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90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95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00.gif" TargetMode="External"/><Relationship Id="rId2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08.gif" TargetMode="External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99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03.gif" TargetMode="External"/><Relationship Id="rId2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12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89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94.gif" TargetMode="External"/><Relationship Id="rId2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07.gif" TargetMode="External"/><Relationship Id="rId32" Type="http://schemas.openxmlformats.org/officeDocument/2006/relationships/fontTable" Target="fontTable.xm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88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98.gif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06.gif" TargetMode="External"/><Relationship Id="rId2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11.gif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93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02.gif" TargetMode="External"/><Relationship Id="rId3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14.jpg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92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97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05.gif" TargetMode="External"/><Relationship Id="rId2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10.gif" TargetMode="External"/><Relationship Id="rId3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413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1399</Words>
  <Characters>7975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2020-09-24T19:38:00Z</dcterms:created>
  <dcterms:modified xsi:type="dcterms:W3CDTF">2020-09-24T19:38:00Z</dcterms:modified>
</cp:coreProperties>
</file>